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De scholing heeft het volgende programma:</w:t>
      </w:r>
    </w:p>
    <w:p>
      <w:p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auto" w:val="clear"/>
        </w:rPr>
        <w:t xml:space="preserve">         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Bewustwording over de continue verandering, 30 min</w:t>
      </w:r>
    </w:p>
    <w:p>
      <w:p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auto" w:val="clear"/>
        </w:rPr>
        <w:t xml:space="preserve">         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Bewustwording over de huidige trends en ontwikkelingen in binnen en buitenland, 30 min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Pauze 10 min</w:t>
      </w:r>
    </w:p>
    <w:p>
      <w:p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auto" w:val="clear"/>
        </w:rPr>
        <w:t xml:space="preserve">         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Wat betekent dit voor de JGZ zorg? 30 min</w:t>
      </w:r>
    </w:p>
    <w:p>
      <w:p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auto" w:val="clear"/>
        </w:rPr>
        <w:t xml:space="preserve">         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Wat betekent dit voor Jong JGZ? 30 min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Brainstorm in breakoutrooms 15 min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Pauze 10 min</w:t>
      </w:r>
    </w:p>
    <w:p>
      <w:p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auto" w:val="clear"/>
        </w:rPr>
        <w:t xml:space="preserve">         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Wat hebben de collega’s nodig om met deze trends mee te gaan? 30 min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Brainstrom in breakoutrooms 15 min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Totaal duur scholing: 180 min (3 uur) + 20 min pauze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